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97" w:rsidRPr="008602C3" w:rsidRDefault="008602C3" w:rsidP="008602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2C3">
        <w:rPr>
          <w:rFonts w:ascii="Times New Roman" w:hAnsi="Times New Roman" w:cs="Times New Roman"/>
          <w:b/>
          <w:sz w:val="32"/>
          <w:szCs w:val="32"/>
        </w:rPr>
        <w:t xml:space="preserve">BỘ CÂU HỎI THU HOẠCH </w:t>
      </w:r>
      <w:r w:rsidR="00B56FF3">
        <w:rPr>
          <w:rFonts w:ascii="Times New Roman" w:hAnsi="Times New Roman" w:cs="Times New Roman"/>
          <w:b/>
          <w:sz w:val="32"/>
          <w:szCs w:val="32"/>
        </w:rPr>
        <w:t xml:space="preserve">SAU ĐỢT </w:t>
      </w:r>
      <w:r w:rsidRPr="008602C3">
        <w:rPr>
          <w:rFonts w:ascii="Times New Roman" w:hAnsi="Times New Roman" w:cs="Times New Roman"/>
          <w:b/>
          <w:sz w:val="32"/>
          <w:szCs w:val="32"/>
        </w:rPr>
        <w:t>THỰC TẬP THỰC TẾ NĂM 2015</w:t>
      </w:r>
    </w:p>
    <w:tbl>
      <w:tblPr>
        <w:tblStyle w:val="TableGrid"/>
        <w:tblW w:w="10170" w:type="dxa"/>
        <w:tblInd w:w="-342" w:type="dxa"/>
        <w:tblLook w:val="04A0"/>
      </w:tblPr>
      <w:tblGrid>
        <w:gridCol w:w="3150"/>
        <w:gridCol w:w="7020"/>
      </w:tblGrid>
      <w:tr w:rsidR="004F5C6B" w:rsidRPr="004F5C6B" w:rsidTr="004F5C6B">
        <w:tc>
          <w:tcPr>
            <w:tcW w:w="3150" w:type="dxa"/>
            <w:shd w:val="clear" w:color="auto" w:fill="DAEEF3" w:themeFill="accent5" w:themeFillTint="33"/>
          </w:tcPr>
          <w:p w:rsidR="004F5C6B" w:rsidRPr="004F5C6B" w:rsidRDefault="00BC1079" w:rsidP="004F5C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proofErr w:type="spellStart"/>
            <w:r w:rsidR="004F5C6B" w:rsidRPr="004F5C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4F5C6B" w:rsidRPr="004F5C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F5C6B" w:rsidRPr="004F5C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7020" w:type="dxa"/>
            <w:shd w:val="clear" w:color="auto" w:fill="DAEEF3" w:themeFill="accent5" w:themeFillTint="33"/>
          </w:tcPr>
          <w:p w:rsidR="004F5C6B" w:rsidRPr="004F5C6B" w:rsidRDefault="004F5C6B" w:rsidP="004F5C6B">
            <w:pPr>
              <w:pStyle w:val="ListParagraph"/>
              <w:spacing w:before="120" w:after="120"/>
              <w:ind w:left="3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F5C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F5C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5C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hỏi</w:t>
            </w:r>
            <w:proofErr w:type="spellEnd"/>
          </w:p>
        </w:tc>
      </w:tr>
      <w:tr w:rsidR="00097232" w:rsidRPr="004F5C6B" w:rsidTr="00097232">
        <w:tc>
          <w:tcPr>
            <w:tcW w:w="3150" w:type="dxa"/>
            <w:shd w:val="clear" w:color="auto" w:fill="FFFFFF" w:themeFill="background1"/>
          </w:tcPr>
          <w:p w:rsidR="00097232" w:rsidRPr="009E0C17" w:rsidRDefault="00097232" w:rsidP="009E0C17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E0C17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I. </w:t>
            </w:r>
            <w:proofErr w:type="spellStart"/>
            <w:r w:rsidRPr="009E0C17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Câu</w:t>
            </w:r>
            <w:proofErr w:type="spellEnd"/>
            <w:r w:rsidRPr="009E0C17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hỏi</w:t>
            </w:r>
            <w:proofErr w:type="spellEnd"/>
            <w:r w:rsidRPr="009E0C17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="009E0C17" w:rsidRPr="009E0C17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lý</w:t>
            </w:r>
            <w:proofErr w:type="spellEnd"/>
            <w:r w:rsidR="009E0C17" w:rsidRPr="009E0C17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="009E0C17" w:rsidRPr="009E0C17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thuyết</w:t>
            </w:r>
            <w:proofErr w:type="spellEnd"/>
          </w:p>
        </w:tc>
        <w:tc>
          <w:tcPr>
            <w:tcW w:w="7020" w:type="dxa"/>
            <w:shd w:val="clear" w:color="auto" w:fill="FFFFFF" w:themeFill="background1"/>
          </w:tcPr>
          <w:p w:rsidR="009E0C17" w:rsidRPr="009E0C17" w:rsidRDefault="009E0C17" w:rsidP="009E0C17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9E0C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ngân</w:t>
            </w:r>
            <w:proofErr w:type="spellEnd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tất</w:t>
            </w:r>
            <w:proofErr w:type="spellEnd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cả</w:t>
            </w:r>
            <w:proofErr w:type="spellEnd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viên</w:t>
            </w:r>
            <w:proofErr w:type="spellEnd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tham</w:t>
            </w:r>
            <w:proofErr w:type="spellEnd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gia</w:t>
            </w:r>
            <w:proofErr w:type="spellEnd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TTTT 2015 </w:t>
            </w:r>
            <w:proofErr w:type="spellStart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="001201B1" w:rsidRPr="001201B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)</w:t>
            </w:r>
          </w:p>
          <w:p w:rsidR="009E0C17" w:rsidRPr="009E0C17" w:rsidRDefault="009E0C17" w:rsidP="009E0C17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01B1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thêm</w:t>
            </w:r>
            <w:proofErr w:type="spellEnd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120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QH2013 CLC, QH2012 CLC</w:t>
            </w:r>
            <w:r w:rsidRPr="009E0C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</w:p>
          <w:p w:rsidR="00097232" w:rsidRPr="009E0C17" w:rsidRDefault="00097232" w:rsidP="009E0C17">
            <w:pPr>
              <w:pStyle w:val="ListParagraph"/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9E0C17">
              <w:rPr>
                <w:rFonts w:ascii="Times New Roman" w:hAnsi="Times New Roman" w:cs="Times New Roman" w:hint="eastAsia"/>
                <w:sz w:val="26"/>
                <w:szCs w:val="26"/>
              </w:rPr>
              <w:t>ư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9E0C17">
              <w:rPr>
                <w:rFonts w:ascii="Times New Roman" w:hAnsi="Times New Roman" w:cs="Times New Roman" w:hint="eastAsia"/>
                <w:sz w:val="26"/>
                <w:szCs w:val="26"/>
              </w:rPr>
              <w:t>ư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proofErr w:type="spellEnd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0C17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="009E0C17"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9E0C17" w:rsidRPr="009E0C17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proofErr w:type="spellEnd"/>
            <w:r w:rsidR="009E0C17" w:rsidRPr="009E0C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02C3" w:rsidRPr="008602C3" w:rsidTr="004F5C6B">
        <w:tc>
          <w:tcPr>
            <w:tcW w:w="3150" w:type="dxa"/>
          </w:tcPr>
          <w:p w:rsidR="008602C3" w:rsidRPr="00E02BFC" w:rsidRDefault="008602C3" w:rsidP="00E02BFC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</w:p>
          <w:p w:rsidR="008602C3" w:rsidRPr="00E02BFC" w:rsidRDefault="00B56FF3" w:rsidP="00E02BFC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I</w:t>
            </w:r>
            <w:r w:rsidR="00097232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I</w:t>
            </w:r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. </w:t>
            </w:r>
            <w:proofErr w:type="spellStart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Câu</w:t>
            </w:r>
            <w:proofErr w:type="spellEnd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hỏi</w:t>
            </w:r>
            <w:proofErr w:type="spellEnd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về</w:t>
            </w:r>
            <w:proofErr w:type="spellEnd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BTCValue</w:t>
            </w:r>
            <w:proofErr w:type="spellEnd"/>
          </w:p>
        </w:tc>
        <w:tc>
          <w:tcPr>
            <w:tcW w:w="7020" w:type="dxa"/>
          </w:tcPr>
          <w:p w:rsidR="008602C3" w:rsidRPr="00E02BFC" w:rsidRDefault="008602C3" w:rsidP="00E02BF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BTCValue</w:t>
            </w:r>
            <w:proofErr w:type="spellEnd"/>
          </w:p>
          <w:p w:rsidR="008602C3" w:rsidRPr="00E02BFC" w:rsidRDefault="008602C3" w:rsidP="00E02BFC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BTCValue</w:t>
            </w:r>
            <w:proofErr w:type="spellEnd"/>
          </w:p>
        </w:tc>
      </w:tr>
      <w:tr w:rsidR="008602C3" w:rsidRPr="008602C3" w:rsidTr="004F5C6B">
        <w:tc>
          <w:tcPr>
            <w:tcW w:w="3150" w:type="dxa"/>
          </w:tcPr>
          <w:p w:rsidR="008602C3" w:rsidRPr="00E02BFC" w:rsidRDefault="008602C3" w:rsidP="00E02BF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</w:p>
          <w:p w:rsidR="008602C3" w:rsidRPr="00E02BFC" w:rsidRDefault="00B56FF3" w:rsidP="00E02BF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I</w:t>
            </w:r>
            <w:r w:rsidR="00097232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I</w:t>
            </w:r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I. </w:t>
            </w:r>
            <w:proofErr w:type="spellStart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Câu</w:t>
            </w:r>
            <w:proofErr w:type="spellEnd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hỏi</w:t>
            </w:r>
            <w:proofErr w:type="spellEnd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về</w:t>
            </w:r>
            <w:proofErr w:type="spellEnd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VNDirect</w:t>
            </w:r>
            <w:proofErr w:type="spellEnd"/>
          </w:p>
        </w:tc>
        <w:tc>
          <w:tcPr>
            <w:tcW w:w="7020" w:type="dxa"/>
          </w:tcPr>
          <w:p w:rsidR="008602C3" w:rsidRPr="00E02BFC" w:rsidRDefault="008602C3" w:rsidP="00E02BFC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khoán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  <w:p w:rsidR="008602C3" w:rsidRPr="00E02BFC" w:rsidRDefault="008602C3" w:rsidP="00E02BFC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VNDirect</w:t>
            </w:r>
            <w:proofErr w:type="spellEnd"/>
          </w:p>
        </w:tc>
      </w:tr>
      <w:tr w:rsidR="008602C3" w:rsidRPr="008602C3" w:rsidTr="004F5C6B">
        <w:tc>
          <w:tcPr>
            <w:tcW w:w="3150" w:type="dxa"/>
          </w:tcPr>
          <w:p w:rsidR="008602C3" w:rsidRPr="00E02BFC" w:rsidRDefault="00097232" w:rsidP="0009723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IV</w:t>
            </w:r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. </w:t>
            </w:r>
            <w:proofErr w:type="spellStart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Câu</w:t>
            </w:r>
            <w:proofErr w:type="spellEnd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hỏi</w:t>
            </w:r>
            <w:proofErr w:type="spellEnd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về</w:t>
            </w:r>
            <w:proofErr w:type="spellEnd"/>
            <w:r w:rsidR="008602C3"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BIDV</w:t>
            </w:r>
          </w:p>
        </w:tc>
        <w:tc>
          <w:tcPr>
            <w:tcW w:w="7020" w:type="dxa"/>
          </w:tcPr>
          <w:p w:rsidR="008602C3" w:rsidRPr="00E02BFC" w:rsidRDefault="008602C3" w:rsidP="00E02BF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lẻ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BIDV Hà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  <w:p w:rsidR="008602C3" w:rsidRPr="00E02BFC" w:rsidRDefault="008602C3" w:rsidP="00E02BF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rủi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ro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BIDV Hà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</w:tc>
      </w:tr>
      <w:tr w:rsidR="00B56FF3" w:rsidRPr="008602C3" w:rsidTr="004F5C6B">
        <w:tc>
          <w:tcPr>
            <w:tcW w:w="3150" w:type="dxa"/>
          </w:tcPr>
          <w:p w:rsidR="00B56FF3" w:rsidRPr="00E02BFC" w:rsidRDefault="00B56FF3" w:rsidP="003E3AE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</w:p>
          <w:p w:rsidR="00B56FF3" w:rsidRPr="00E02BFC" w:rsidRDefault="00B56FF3" w:rsidP="003E3AE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V</w:t>
            </w:r>
            <w:r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. </w:t>
            </w:r>
            <w:proofErr w:type="spellStart"/>
            <w:r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Câu</w:t>
            </w:r>
            <w:proofErr w:type="spellEnd"/>
            <w:r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hỏi</w:t>
            </w:r>
            <w:proofErr w:type="spellEnd"/>
            <w:r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về</w:t>
            </w:r>
            <w:proofErr w:type="spellEnd"/>
            <w:r w:rsidRPr="00E02BFC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 xml:space="preserve"> HNX:</w:t>
            </w:r>
          </w:p>
          <w:p w:rsidR="00B56FF3" w:rsidRPr="00E02BFC" w:rsidRDefault="00B56FF3" w:rsidP="003E3AE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</w:p>
        </w:tc>
        <w:tc>
          <w:tcPr>
            <w:tcW w:w="7020" w:type="dxa"/>
          </w:tcPr>
          <w:p w:rsidR="00B56FF3" w:rsidRPr="00E02BFC" w:rsidRDefault="00B56FF3" w:rsidP="003E3AE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HNX</w:t>
            </w:r>
          </w:p>
          <w:p w:rsidR="00B56FF3" w:rsidRPr="00E02BFC" w:rsidRDefault="00B56FF3" w:rsidP="003E3AE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khoán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Việt Nam</w:t>
            </w:r>
          </w:p>
          <w:p w:rsidR="00B56FF3" w:rsidRPr="00E02BFC" w:rsidRDefault="00B56FF3" w:rsidP="003E3AE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chuyến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HNX </w:t>
            </w:r>
            <w:proofErr w:type="spellStart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E02BFC">
              <w:rPr>
                <w:rFonts w:ascii="Times New Roman" w:hAnsi="Times New Roman" w:cs="Times New Roman"/>
                <w:sz w:val="26"/>
                <w:szCs w:val="26"/>
              </w:rPr>
              <w:t xml:space="preserve"> qua</w:t>
            </w:r>
          </w:p>
        </w:tc>
      </w:tr>
    </w:tbl>
    <w:p w:rsidR="008602C3" w:rsidRDefault="008602C3" w:rsidP="008602C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0C87" w:rsidRDefault="004F5C6B" w:rsidP="008602C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***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ý: </w:t>
      </w:r>
    </w:p>
    <w:p w:rsidR="004F5C6B" w:rsidRDefault="004F5C6B" w:rsidP="00EC0C8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Tùy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EC0C87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proofErr w:type="gram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từng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đào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4A88" w:rsidRPr="00EC0C87">
        <w:rPr>
          <w:rFonts w:ascii="Times New Roman" w:hAnsi="Times New Roman" w:cs="Times New Roman"/>
          <w:b/>
          <w:sz w:val="26"/>
          <w:szCs w:val="26"/>
        </w:rPr>
        <w:t>đợt</w:t>
      </w:r>
      <w:proofErr w:type="spellEnd"/>
      <w:r w:rsidR="001D4A88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0C87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đi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tới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sở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thu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hoạch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sở</w:t>
      </w:r>
      <w:proofErr w:type="spellEnd"/>
      <w:r w:rsidR="00B56FF3" w:rsidRPr="00EC0C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6FF3" w:rsidRPr="00EC0C87"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 w:rsidR="00BC1079" w:rsidRPr="00EC0C87">
        <w:rPr>
          <w:rFonts w:ascii="Times New Roman" w:hAnsi="Times New Roman" w:cs="Times New Roman"/>
          <w:b/>
          <w:sz w:val="26"/>
          <w:szCs w:val="26"/>
        </w:rPr>
        <w:t>.</w:t>
      </w:r>
    </w:p>
    <w:p w:rsidR="00EC0C87" w:rsidRPr="00EC0C87" w:rsidRDefault="00EC0C87" w:rsidP="00EC0C8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chậm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16h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25/11/2015</w:t>
      </w:r>
    </w:p>
    <w:sectPr w:rsidR="00EC0C87" w:rsidRPr="00EC0C87" w:rsidSect="003E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25C"/>
    <w:multiLevelType w:val="hybridMultilevel"/>
    <w:tmpl w:val="E306F226"/>
    <w:lvl w:ilvl="0" w:tplc="46DE4668">
      <w:start w:val="1"/>
      <w:numFmt w:val="decimal"/>
      <w:lvlText w:val="%1)"/>
      <w:lvlJc w:val="left"/>
      <w:pPr>
        <w:ind w:left="10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0C107AD4"/>
    <w:multiLevelType w:val="hybridMultilevel"/>
    <w:tmpl w:val="2FD8F0CC"/>
    <w:lvl w:ilvl="0" w:tplc="8C006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60486"/>
    <w:multiLevelType w:val="hybridMultilevel"/>
    <w:tmpl w:val="5972FE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07E9"/>
    <w:multiLevelType w:val="hybridMultilevel"/>
    <w:tmpl w:val="349CA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F47D5"/>
    <w:multiLevelType w:val="hybridMultilevel"/>
    <w:tmpl w:val="75D869C6"/>
    <w:lvl w:ilvl="0" w:tplc="060A1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E4F69"/>
    <w:multiLevelType w:val="hybridMultilevel"/>
    <w:tmpl w:val="F3FA3D40"/>
    <w:lvl w:ilvl="0" w:tplc="72FA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E2DD2"/>
    <w:multiLevelType w:val="hybridMultilevel"/>
    <w:tmpl w:val="3ED02F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74956"/>
    <w:multiLevelType w:val="hybridMultilevel"/>
    <w:tmpl w:val="BD5C2B9A"/>
    <w:lvl w:ilvl="0" w:tplc="161A57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25D2A"/>
    <w:multiLevelType w:val="hybridMultilevel"/>
    <w:tmpl w:val="278A2C26"/>
    <w:lvl w:ilvl="0" w:tplc="D0D2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B2A46"/>
    <w:multiLevelType w:val="hybridMultilevel"/>
    <w:tmpl w:val="E5C68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602C3"/>
    <w:rsid w:val="00097232"/>
    <w:rsid w:val="001201B1"/>
    <w:rsid w:val="001D4A88"/>
    <w:rsid w:val="00284BBE"/>
    <w:rsid w:val="003E5197"/>
    <w:rsid w:val="004F5C6B"/>
    <w:rsid w:val="008602C3"/>
    <w:rsid w:val="009E0C17"/>
    <w:rsid w:val="00B56FF3"/>
    <w:rsid w:val="00BC1079"/>
    <w:rsid w:val="00E02BFC"/>
    <w:rsid w:val="00E11EDA"/>
    <w:rsid w:val="00EC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2015-11-17T01:59:00Z</dcterms:created>
  <dcterms:modified xsi:type="dcterms:W3CDTF">2015-11-17T04:17:00Z</dcterms:modified>
</cp:coreProperties>
</file>